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2197498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1C717E9F" w:rsidR="00E13C27" w:rsidRPr="00CF1AA2" w:rsidRDefault="008F6665" w:rsidP="008944DB">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עאידה תומא סלימאן</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פ/727/25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26DC02E1" w:rsidR="00E13C27" w:rsidRPr="00F67051" w:rsidRDefault="00A443CF" w:rsidP="00595595">
      <w:pPr>
        <w:pStyle w:val="HeadHatzaotHok"/>
        <w:rPr>
          <w:rtl/>
        </w:rPr>
      </w:pPr>
      <w:bookmarkStart w:id="7" w:name="LGS_Subject"/>
      <w:r>
        <w:rPr>
          <w:rFonts w:hint="cs"/>
          <w:rtl/>
        </w:rPr>
        <w:t>הצעת חוק הביטוח הלאומי (תיקון – חובת נוכחות מתורגמן בדיוני ועדה רפואית), התשפ"ג</w:t>
      </w:r>
      <w:r w:rsidR="00595595">
        <w:rPr>
          <w:rFonts w:hint="eastAsia"/>
          <w:rtl/>
        </w:rPr>
        <w:t>–</w:t>
      </w:r>
      <w:r>
        <w:rPr>
          <w:rFonts w:hint="cs"/>
          <w:rtl/>
        </w:rPr>
        <w:t>2022</w:t>
      </w:r>
      <w:bookmarkEnd w:id="7"/>
    </w:p>
    <w:tbl>
      <w:tblPr>
        <w:bidiVisual/>
        <w:tblW w:w="0" w:type="dxa"/>
        <w:tblInd w:w="-2" w:type="dxa"/>
        <w:tblLayout w:type="fixed"/>
        <w:tblCellMar>
          <w:top w:w="57" w:type="dxa"/>
          <w:left w:w="0" w:type="dxa"/>
          <w:bottom w:w="57" w:type="dxa"/>
          <w:right w:w="0" w:type="dxa"/>
        </w:tblCellMar>
        <w:tblLook w:val="04A0" w:firstRow="1" w:lastRow="0" w:firstColumn="1" w:lastColumn="0" w:noHBand="0" w:noVBand="1"/>
      </w:tblPr>
      <w:tblGrid>
        <w:gridCol w:w="1872"/>
        <w:gridCol w:w="624"/>
        <w:gridCol w:w="1872"/>
        <w:gridCol w:w="624"/>
        <w:gridCol w:w="4651"/>
      </w:tblGrid>
      <w:tr w:rsidR="00EF012E" w14:paraId="63D0C9FC" w14:textId="77777777" w:rsidTr="00D06234">
        <w:trPr>
          <w:cantSplit/>
        </w:trPr>
        <w:tc>
          <w:tcPr>
            <w:tcW w:w="1872" w:type="dxa"/>
            <w:hideMark/>
          </w:tcPr>
          <w:p w14:paraId="01FE1211" w14:textId="77777777" w:rsidR="00EF012E" w:rsidRDefault="00EF012E" w:rsidP="00D06234">
            <w:pPr>
              <w:pStyle w:val="TableSideHeading"/>
              <w:ind w:right="0"/>
            </w:pPr>
            <w:r>
              <w:rPr>
                <w:sz w:val="26"/>
                <w:rtl/>
              </w:rPr>
              <w:t>הוספת סעיף 125א</w:t>
            </w:r>
          </w:p>
        </w:tc>
        <w:tc>
          <w:tcPr>
            <w:tcW w:w="624" w:type="dxa"/>
            <w:hideMark/>
          </w:tcPr>
          <w:p w14:paraId="0B07C4DC" w14:textId="77777777" w:rsidR="00EF012E" w:rsidRDefault="00EF012E" w:rsidP="00D06234">
            <w:pPr>
              <w:pStyle w:val="TableText"/>
            </w:pPr>
            <w:r>
              <w:rPr>
                <w:sz w:val="26"/>
                <w:rtl/>
              </w:rPr>
              <w:t>1.</w:t>
            </w:r>
          </w:p>
        </w:tc>
        <w:tc>
          <w:tcPr>
            <w:tcW w:w="7147" w:type="dxa"/>
            <w:gridSpan w:val="3"/>
            <w:hideMark/>
          </w:tcPr>
          <w:p w14:paraId="4417E59E" w14:textId="77777777" w:rsidR="00EF012E" w:rsidRDefault="00EF012E" w:rsidP="00D06234">
            <w:pPr>
              <w:pStyle w:val="TableBlock"/>
            </w:pPr>
            <w:r>
              <w:rPr>
                <w:sz w:val="26"/>
                <w:rtl/>
              </w:rPr>
              <w:t>בחוק הביטוח הלאומי [נוסח משולב], התשנ"ה–1995</w:t>
            </w:r>
            <w:r>
              <w:rPr>
                <w:rStyle w:val="a6"/>
                <w:sz w:val="26"/>
                <w:rtl/>
              </w:rPr>
              <w:footnoteReference w:id="2"/>
            </w:r>
            <w:r>
              <w:rPr>
                <w:sz w:val="26"/>
                <w:rtl/>
              </w:rPr>
              <w:t xml:space="preserve"> (להלן – החוק העיקרי), אחרי סעיף 125 יבוא:</w:t>
            </w:r>
          </w:p>
        </w:tc>
      </w:tr>
      <w:tr w:rsidR="00EF012E" w14:paraId="6A8AF397" w14:textId="77777777" w:rsidTr="00D06234">
        <w:trPr>
          <w:cantSplit/>
        </w:trPr>
        <w:tc>
          <w:tcPr>
            <w:tcW w:w="1872" w:type="dxa"/>
          </w:tcPr>
          <w:p w14:paraId="5BE1B32B" w14:textId="77777777" w:rsidR="00EF012E" w:rsidRDefault="00EF012E" w:rsidP="00D06234">
            <w:pPr>
              <w:pStyle w:val="TableSideHeading"/>
            </w:pPr>
          </w:p>
        </w:tc>
        <w:tc>
          <w:tcPr>
            <w:tcW w:w="624" w:type="dxa"/>
          </w:tcPr>
          <w:p w14:paraId="7CA364AA" w14:textId="77777777" w:rsidR="00EF012E" w:rsidRDefault="00EF012E" w:rsidP="00D06234">
            <w:pPr>
              <w:pStyle w:val="TableText"/>
            </w:pPr>
          </w:p>
        </w:tc>
        <w:tc>
          <w:tcPr>
            <w:tcW w:w="1872" w:type="dxa"/>
            <w:hideMark/>
          </w:tcPr>
          <w:p w14:paraId="2359CB1D" w14:textId="77777777" w:rsidR="00EF012E" w:rsidRDefault="00EF012E" w:rsidP="00D06234">
            <w:pPr>
              <w:pStyle w:val="TableInnerSideHeading"/>
            </w:pPr>
            <w:r>
              <w:rPr>
                <w:sz w:val="26"/>
                <w:rtl/>
              </w:rPr>
              <w:t>"חובת נוכחות מתורגמן</w:t>
            </w:r>
          </w:p>
        </w:tc>
        <w:tc>
          <w:tcPr>
            <w:tcW w:w="624" w:type="dxa"/>
            <w:hideMark/>
          </w:tcPr>
          <w:p w14:paraId="46D1ED07" w14:textId="77777777" w:rsidR="00EF012E" w:rsidRDefault="00EF012E" w:rsidP="00D06234">
            <w:pPr>
              <w:pStyle w:val="TableText"/>
            </w:pPr>
            <w:r>
              <w:rPr>
                <w:sz w:val="26"/>
                <w:rtl/>
              </w:rPr>
              <w:t>125א.</w:t>
            </w:r>
          </w:p>
        </w:tc>
        <w:tc>
          <w:tcPr>
            <w:tcW w:w="4651" w:type="dxa"/>
            <w:hideMark/>
          </w:tcPr>
          <w:p w14:paraId="7E7F090B" w14:textId="77777777" w:rsidR="00EF012E" w:rsidRDefault="00EF012E" w:rsidP="00D06234">
            <w:pPr>
              <w:pStyle w:val="TableBlock"/>
            </w:pPr>
            <w:r>
              <w:rPr>
                <w:sz w:val="26"/>
                <w:rtl/>
              </w:rPr>
              <w:t>על אף האמור בכל דין, התייצב תובע הדובר את השפה הערבית, הרוסית או האמהרית (להלן –  שפתו של התובע) ואינו דובר את השפה העברית, בפני רופא, ועדה רפואית או ועדה רפואית לעררים לפי פרק ה', יעמיד המוסד לביטוח לאומי מתורגמן לשפתו של התובע שיהיה נוכח במהלך הדיון, אלא אם כן הרופא או אחד לפחות מחברי הוועדה דובר את שפתו של התובע; השר יקבע תקנות לביצועו של סעיף זה."</w:t>
            </w:r>
          </w:p>
        </w:tc>
      </w:tr>
      <w:tr w:rsidR="00EF012E" w14:paraId="31F0219B" w14:textId="77777777" w:rsidTr="008944DB">
        <w:tc>
          <w:tcPr>
            <w:tcW w:w="1872" w:type="dxa"/>
            <w:hideMark/>
          </w:tcPr>
          <w:p w14:paraId="6FAFC6C9" w14:textId="77777777" w:rsidR="00EF012E" w:rsidRDefault="00EF012E" w:rsidP="00D06234">
            <w:pPr>
              <w:pStyle w:val="TableSideHeading"/>
              <w:ind w:right="0"/>
            </w:pPr>
            <w:bookmarkStart w:id="8" w:name="_GoBack"/>
            <w:r>
              <w:rPr>
                <w:sz w:val="26"/>
                <w:rtl/>
              </w:rPr>
              <w:t>הוספת סעיף</w:t>
            </w:r>
            <w:r>
              <w:rPr>
                <w:rtl/>
              </w:rPr>
              <w:t xml:space="preserve"> 220ג</w:t>
            </w:r>
          </w:p>
        </w:tc>
        <w:tc>
          <w:tcPr>
            <w:tcW w:w="624" w:type="dxa"/>
            <w:hideMark/>
          </w:tcPr>
          <w:p w14:paraId="456A128B" w14:textId="77777777" w:rsidR="00EF012E" w:rsidRDefault="00EF012E" w:rsidP="00D06234">
            <w:pPr>
              <w:pStyle w:val="TableText"/>
            </w:pPr>
            <w:r>
              <w:rPr>
                <w:sz w:val="26"/>
                <w:rtl/>
              </w:rPr>
              <w:t>2.</w:t>
            </w:r>
          </w:p>
        </w:tc>
        <w:tc>
          <w:tcPr>
            <w:tcW w:w="7147" w:type="dxa"/>
            <w:gridSpan w:val="3"/>
            <w:hideMark/>
          </w:tcPr>
          <w:p w14:paraId="11562C5A" w14:textId="3EF71F93" w:rsidR="00EF012E" w:rsidRDefault="00EF012E" w:rsidP="00D06234">
            <w:pPr>
              <w:pStyle w:val="TableBlock"/>
            </w:pPr>
            <w:r>
              <w:rPr>
                <w:sz w:val="26"/>
                <w:rtl/>
              </w:rPr>
              <w:t xml:space="preserve">אחרי סעיף 220ב </w:t>
            </w:r>
            <w:r w:rsidR="00675482">
              <w:rPr>
                <w:rFonts w:hint="cs"/>
                <w:sz w:val="26"/>
                <w:rtl/>
              </w:rPr>
              <w:t xml:space="preserve">לחוק העיקרי </w:t>
            </w:r>
            <w:r>
              <w:rPr>
                <w:sz w:val="26"/>
                <w:rtl/>
              </w:rPr>
              <w:t>יבוא:</w:t>
            </w:r>
          </w:p>
        </w:tc>
      </w:tr>
      <w:tr w:rsidR="00EF012E" w14:paraId="56DFACA7" w14:textId="77777777" w:rsidTr="008944DB">
        <w:trPr>
          <w:trHeight w:val="60"/>
        </w:trPr>
        <w:tc>
          <w:tcPr>
            <w:tcW w:w="1872" w:type="dxa"/>
          </w:tcPr>
          <w:p w14:paraId="644617E4" w14:textId="77777777" w:rsidR="00EF012E" w:rsidRDefault="00EF012E" w:rsidP="00D06234">
            <w:pPr>
              <w:pStyle w:val="TableSideHeading"/>
              <w:keepLines w:val="0"/>
            </w:pPr>
          </w:p>
        </w:tc>
        <w:tc>
          <w:tcPr>
            <w:tcW w:w="624" w:type="dxa"/>
          </w:tcPr>
          <w:p w14:paraId="700F64D6" w14:textId="77777777" w:rsidR="00EF012E" w:rsidRDefault="00EF012E" w:rsidP="00D06234">
            <w:pPr>
              <w:pStyle w:val="TableText"/>
              <w:keepLines w:val="0"/>
            </w:pPr>
          </w:p>
        </w:tc>
        <w:tc>
          <w:tcPr>
            <w:tcW w:w="1872" w:type="dxa"/>
            <w:hideMark/>
          </w:tcPr>
          <w:p w14:paraId="199C4BDF" w14:textId="77777777" w:rsidR="00EF012E" w:rsidRDefault="00EF012E" w:rsidP="00D06234">
            <w:pPr>
              <w:pStyle w:val="TableInnerSideHeading"/>
            </w:pPr>
            <w:r>
              <w:rPr>
                <w:rtl/>
              </w:rPr>
              <w:t>"חובת נוכחות מתורגמן</w:t>
            </w:r>
          </w:p>
        </w:tc>
        <w:tc>
          <w:tcPr>
            <w:tcW w:w="624" w:type="dxa"/>
            <w:hideMark/>
          </w:tcPr>
          <w:p w14:paraId="1C1773AB" w14:textId="77777777" w:rsidR="00EF012E" w:rsidRDefault="00EF012E" w:rsidP="00D06234">
            <w:pPr>
              <w:pStyle w:val="TableText"/>
            </w:pPr>
            <w:r>
              <w:rPr>
                <w:rtl/>
              </w:rPr>
              <w:t>220ג.</w:t>
            </w:r>
          </w:p>
        </w:tc>
        <w:tc>
          <w:tcPr>
            <w:tcW w:w="4651" w:type="dxa"/>
            <w:hideMark/>
          </w:tcPr>
          <w:p w14:paraId="4ABD2FCD" w14:textId="77777777" w:rsidR="00EF012E" w:rsidRDefault="00EF012E" w:rsidP="00D06234">
            <w:pPr>
              <w:pStyle w:val="TableBlock"/>
            </w:pPr>
            <w:r>
              <w:rPr>
                <w:rtl/>
              </w:rPr>
              <w:t xml:space="preserve">על אף האמור בכל דין, התייצב </w:t>
            </w:r>
            <w:r>
              <w:rPr>
                <w:sz w:val="26"/>
                <w:rtl/>
              </w:rPr>
              <w:t xml:space="preserve">תובע הדובר את השפה הערבית, הרוסית או האמהרית (להלן –  שפתו של התובע) ואינו דובר את השפה העברית, בפני רופא, ועדה רפואית, </w:t>
            </w:r>
            <w:r>
              <w:rPr>
                <w:rtl/>
              </w:rPr>
              <w:t>ועדה רפואית לעררים, ועדה לעררים, ועדה לעררים לשירותים מיוחדים או ועדה לעררים לילד נכה, לפי פרק ט'</w:t>
            </w:r>
            <w:r>
              <w:rPr>
                <w:sz w:val="26"/>
                <w:rtl/>
              </w:rPr>
              <w:t xml:space="preserve">, יעמיד המוסד לביטוח לאומי מתורגמן לשפתו של התובע שיהיה נוכח במהלך הדיון, אלא אם כן הרופא או אחד לפחות מחברי הוועדה דובר את שפתו של </w:t>
            </w:r>
            <w:r>
              <w:rPr>
                <w:sz w:val="26"/>
                <w:rtl/>
              </w:rPr>
              <w:lastRenderedPageBreak/>
              <w:t>התובע; השר יקבע תקנות לביצועו של סעיף זה."</w:t>
            </w:r>
          </w:p>
        </w:tc>
      </w:tr>
    </w:tbl>
    <w:bookmarkEnd w:id="8"/>
    <w:p w14:paraId="5DEF730F" w14:textId="77777777" w:rsidR="00EF012E" w:rsidRDefault="00EF012E" w:rsidP="00EF012E">
      <w:pPr>
        <w:pStyle w:val="HeadDivreiHesber"/>
      </w:pPr>
      <w:r>
        <w:rPr>
          <w:rtl/>
        </w:rPr>
        <w:lastRenderedPageBreak/>
        <w:t>דברי הסבר</w:t>
      </w:r>
    </w:p>
    <w:p w14:paraId="461DF1F9" w14:textId="77777777" w:rsidR="00EF012E" w:rsidRDefault="00EF012E" w:rsidP="00EF012E">
      <w:pPr>
        <w:snapToGrid w:val="0"/>
        <w:spacing w:before="0" w:line="360" w:lineRule="auto"/>
        <w:rPr>
          <w:rFonts w:ascii="Arial" w:eastAsia="Arial Unicode MS" w:hAnsi="Arial" w:cs="David"/>
          <w:spacing w:val="0"/>
          <w:sz w:val="26"/>
          <w:szCs w:val="26"/>
          <w:rtl/>
        </w:rPr>
      </w:pPr>
      <w:r>
        <w:rPr>
          <w:rFonts w:ascii="Arial" w:eastAsia="Arial Unicode MS" w:hAnsi="Arial" w:cs="David"/>
          <w:spacing w:val="0"/>
          <w:sz w:val="26"/>
          <w:szCs w:val="26"/>
          <w:rtl/>
        </w:rPr>
        <w:t xml:space="preserve">בחוק הביטוח הלאומי [נוסח משולב], התשנ"ה–1995, אין הוראה המסדירה את נוכחותו של נציג או מתורגמן, הדובר את שפתו של התובע המופיע בפני רופא או בפני ועדה רפואית הפועלת לפי חוק הביטוח הלאומי. בהזמנה לוועדה הרפואית הנשלחת לתובע נכתב כי אם התובע אינו דובר עברית באפשרותו להביא עמו אדם (בן משפחה, חבר וכו') שיתרגם את דבריו, ואולם כאשר תובע מופיע ללא ליווי של מתורגמן, מופסקת ישיבת הוועדה ונדחית למועד אחר, שבו התובע מתבקש לבוא בליווי מתורגמן. </w:t>
      </w:r>
    </w:p>
    <w:p w14:paraId="05D8AA0A" w14:textId="52E5517D" w:rsidR="00EF012E" w:rsidRDefault="00EF012E" w:rsidP="00EF012E">
      <w:pPr>
        <w:snapToGrid w:val="0"/>
        <w:spacing w:before="0" w:line="360" w:lineRule="auto"/>
        <w:rPr>
          <w:rFonts w:ascii="Arial" w:eastAsia="Arial Unicode MS" w:hAnsi="Arial" w:cs="David"/>
          <w:spacing w:val="0"/>
          <w:sz w:val="26"/>
          <w:szCs w:val="26"/>
        </w:rPr>
      </w:pPr>
      <w:r>
        <w:rPr>
          <w:rFonts w:ascii="Arial" w:eastAsia="Arial Unicode MS" w:hAnsi="Arial" w:cs="David"/>
          <w:spacing w:val="0"/>
          <w:sz w:val="26"/>
          <w:szCs w:val="26"/>
          <w:rtl/>
        </w:rPr>
        <w:t>הצעת החוק קובעת הסדר שיחייב את המוסד לביטוח לאומי להעמיד לרשות תובע, שאינו דובר את השפה העברית, מתורגמן שיהיה נוכח במהלך הדיון בפני רופא, ועדה רפואית או ועדה רפואית לעררים לפי פרק ה', וכן במהלך הדיון בפני רופא, ועדה רפואית, ועדה רפואית לעררים, ועדה לעררים, ועדה לעררים לשירותים מיוחדים או ועדה לעררים לילד נכה, לפי פרק ט', אלא אם כן הרופא או אחד מחברי הוועדה דובר את שפת הת</w:t>
      </w:r>
      <w:r w:rsidR="00782290">
        <w:rPr>
          <w:rFonts w:ascii="Arial" w:eastAsia="Arial Unicode MS" w:hAnsi="Arial" w:cs="David"/>
          <w:spacing w:val="0"/>
          <w:sz w:val="26"/>
          <w:szCs w:val="26"/>
          <w:rtl/>
        </w:rPr>
        <w:t>ובע.</w:t>
      </w:r>
    </w:p>
    <w:p w14:paraId="63FFE72C" w14:textId="77777777" w:rsidR="00EF012E" w:rsidRDefault="00EF012E" w:rsidP="00EF012E">
      <w:pPr>
        <w:snapToGrid w:val="0"/>
        <w:spacing w:before="0" w:line="360" w:lineRule="auto"/>
        <w:rPr>
          <w:rFonts w:ascii="Arial" w:eastAsia="Arial Unicode MS" w:hAnsi="Arial" w:cs="David"/>
          <w:spacing w:val="0"/>
          <w:sz w:val="26"/>
          <w:szCs w:val="26"/>
          <w:rtl/>
        </w:rPr>
      </w:pPr>
      <w:r>
        <w:rPr>
          <w:rFonts w:ascii="Arial" w:eastAsia="Arial Unicode MS" w:hAnsi="Arial" w:cs="David"/>
          <w:spacing w:val="0"/>
          <w:sz w:val="26"/>
          <w:szCs w:val="26"/>
          <w:rtl/>
        </w:rPr>
        <w:t xml:space="preserve">הצעת החוק קובעת כי חובה זו תחול לגבי השפות ערבית, רוסית ואמהרית, שכן קיימים תובעים רבים שהם דוברי השפות הללו אשר נתקלים בקשיים בהצגת מצבם הרפואי בשפה העברית, ובמציאת מלווה המסוגל להעניק שירותי תרגום ברמה מספקת במעמדים מסוג זה.   </w:t>
      </w:r>
    </w:p>
    <w:p w14:paraId="6B545CE5" w14:textId="77777777" w:rsidR="00EF012E" w:rsidRDefault="00EF012E" w:rsidP="00EF012E">
      <w:pPr>
        <w:snapToGrid w:val="0"/>
        <w:spacing w:before="0" w:line="360" w:lineRule="auto"/>
        <w:rPr>
          <w:rFonts w:ascii="Arial" w:eastAsia="Arial Unicode MS" w:hAnsi="Arial" w:cs="David"/>
          <w:spacing w:val="0"/>
          <w:sz w:val="26"/>
          <w:szCs w:val="26"/>
          <w:rtl/>
        </w:rPr>
      </w:pPr>
      <w:r>
        <w:rPr>
          <w:rFonts w:ascii="Arial" w:eastAsia="Arial Unicode MS" w:hAnsi="Arial" w:cs="David"/>
          <w:spacing w:val="0"/>
          <w:sz w:val="26"/>
          <w:szCs w:val="26"/>
          <w:rtl/>
        </w:rPr>
        <w:t>הצעות חוק דומות בעיקרן הונחו על שולחן הכנסת השבע-עשרה על ידי חבר הכנסת יורי שטרן וקבוצת חברי הכנסת (פ/989/17) ועל ידי חברי הכנסת ג'מאל זחאלקה וואסל טאהא (פ/2229/17; הוסרה מסדר היום ביום ד' בכסלו התשס"ח (14 בנובמבר 2007)), על שולחן הכנסת השמונה-עשרה על ידי חבר הכנסת ג'מאל זחאלקה וקבוצת חברי הכנסת (פ/593/18) ועל ידי חבר הכנסת דב חנין וקבוצת חברי הכנסת (פ/1191/18), על שולחן הכנסת התשע-עשרה על ידי חבר הכנסת דב חנין וקבוצת חברי הכנסת (פ/729/19), על שולחן הכנסת העשרים על ידי חבר הכנסת דב חנין וקבוצת חברי הכנסת (פ/321/20)</w:t>
      </w:r>
      <w:r>
        <w:rPr>
          <w:rFonts w:ascii="Arial" w:eastAsia="Arial Unicode MS" w:hAnsi="Arial" w:cs="David" w:hint="cs"/>
          <w:spacing w:val="0"/>
          <w:sz w:val="26"/>
          <w:szCs w:val="26"/>
          <w:rtl/>
        </w:rPr>
        <w:t xml:space="preserve">, </w:t>
      </w:r>
      <w:r>
        <w:rPr>
          <w:rFonts w:ascii="Arial" w:eastAsia="Arial Unicode MS" w:hAnsi="Arial" w:cs="David"/>
          <w:spacing w:val="0"/>
          <w:sz w:val="26"/>
          <w:szCs w:val="26"/>
          <w:rtl/>
        </w:rPr>
        <w:t>על שולחן הכנסת העשרים ושתיים על ידי חברות הכנסת פנינה תמנו ומיכל שיר (פ/1192/22)</w:t>
      </w:r>
      <w:r>
        <w:rPr>
          <w:rFonts w:ascii="Arial" w:eastAsia="Arial Unicode MS" w:hAnsi="Arial" w:cs="David" w:hint="cs"/>
          <w:spacing w:val="0"/>
          <w:sz w:val="26"/>
          <w:szCs w:val="26"/>
          <w:rtl/>
        </w:rPr>
        <w:t xml:space="preserve"> ועל שולחן הכנסת העשרים ושלוש על ידי חברת הכנסת פנינה תמנו (פ/518/23)</w:t>
      </w:r>
      <w:r>
        <w:rPr>
          <w:rFonts w:ascii="Arial" w:eastAsia="Arial Unicode MS" w:hAnsi="Arial" w:cs="David"/>
          <w:spacing w:val="0"/>
          <w:sz w:val="26"/>
          <w:szCs w:val="26"/>
          <w:rtl/>
        </w:rPr>
        <w:t>.</w:t>
      </w:r>
    </w:p>
    <w:p w14:paraId="1E7CBC32" w14:textId="0550086F" w:rsidR="00F11E65" w:rsidRDefault="00EF012E" w:rsidP="00F11E65">
      <w:pPr>
        <w:snapToGrid w:val="0"/>
        <w:spacing w:before="0" w:line="360" w:lineRule="auto"/>
        <w:rPr>
          <w:rFonts w:ascii="Arial" w:eastAsia="Arial Unicode MS" w:hAnsi="Arial" w:cs="David"/>
          <w:spacing w:val="0"/>
          <w:sz w:val="26"/>
          <w:szCs w:val="26"/>
          <w:rtl/>
        </w:rPr>
      </w:pPr>
      <w:r>
        <w:rPr>
          <w:rFonts w:ascii="Arial" w:eastAsia="Arial Unicode MS" w:hAnsi="Arial" w:cs="David" w:hint="cs"/>
          <w:spacing w:val="0"/>
          <w:sz w:val="26"/>
          <w:szCs w:val="26"/>
          <w:rtl/>
        </w:rPr>
        <w:t>הצע</w:t>
      </w:r>
      <w:r w:rsidR="00F11E65">
        <w:rPr>
          <w:rFonts w:ascii="Arial" w:eastAsia="Arial Unicode MS" w:hAnsi="Arial" w:cs="David" w:hint="cs"/>
          <w:spacing w:val="0"/>
          <w:sz w:val="26"/>
          <w:szCs w:val="26"/>
          <w:rtl/>
        </w:rPr>
        <w:t>ו</w:t>
      </w:r>
      <w:r>
        <w:rPr>
          <w:rFonts w:ascii="Arial" w:eastAsia="Arial Unicode MS" w:hAnsi="Arial" w:cs="David" w:hint="cs"/>
          <w:spacing w:val="0"/>
          <w:sz w:val="26"/>
          <w:szCs w:val="26"/>
          <w:rtl/>
        </w:rPr>
        <w:t>ת חוק זה</w:t>
      </w:r>
      <w:r w:rsidR="00F11E65">
        <w:rPr>
          <w:rFonts w:ascii="Arial" w:eastAsia="Arial Unicode MS" w:hAnsi="Arial" w:cs="David" w:hint="cs"/>
          <w:spacing w:val="0"/>
          <w:sz w:val="26"/>
          <w:szCs w:val="26"/>
          <w:rtl/>
        </w:rPr>
        <w:t>ות</w:t>
      </w:r>
      <w:r>
        <w:rPr>
          <w:rFonts w:ascii="Arial" w:eastAsia="Arial Unicode MS" w:hAnsi="Arial" w:cs="David" w:hint="cs"/>
          <w:spacing w:val="0"/>
          <w:sz w:val="26"/>
          <w:szCs w:val="26"/>
          <w:rtl/>
        </w:rPr>
        <w:t xml:space="preserve"> הונח</w:t>
      </w:r>
      <w:r w:rsidR="00F11E65">
        <w:rPr>
          <w:rFonts w:ascii="Arial" w:eastAsia="Arial Unicode MS" w:hAnsi="Arial" w:cs="David" w:hint="cs"/>
          <w:spacing w:val="0"/>
          <w:sz w:val="26"/>
          <w:szCs w:val="26"/>
          <w:rtl/>
        </w:rPr>
        <w:t>ו</w:t>
      </w:r>
      <w:r>
        <w:rPr>
          <w:rFonts w:ascii="Arial" w:eastAsia="Arial Unicode MS" w:hAnsi="Arial" w:cs="David" w:hint="cs"/>
          <w:spacing w:val="0"/>
          <w:sz w:val="26"/>
          <w:szCs w:val="26"/>
          <w:rtl/>
        </w:rPr>
        <w:t xml:space="preserve"> על שולחן הכנסת </w:t>
      </w:r>
      <w:r w:rsidR="00F11E65">
        <w:rPr>
          <w:rFonts w:ascii="Arial" w:eastAsia="Arial Unicode MS" w:hAnsi="Arial" w:cs="David" w:hint="cs"/>
          <w:spacing w:val="0"/>
          <w:sz w:val="26"/>
          <w:szCs w:val="26"/>
          <w:rtl/>
        </w:rPr>
        <w:t>העשרים ושלוש</w:t>
      </w:r>
      <w:r>
        <w:rPr>
          <w:rFonts w:ascii="Arial" w:eastAsia="Arial Unicode MS" w:hAnsi="Arial" w:cs="David" w:hint="cs"/>
          <w:spacing w:val="0"/>
          <w:sz w:val="26"/>
          <w:szCs w:val="26"/>
          <w:rtl/>
        </w:rPr>
        <w:t xml:space="preserve"> </w:t>
      </w:r>
      <w:r w:rsidR="00F11E65">
        <w:rPr>
          <w:rFonts w:ascii="Arial" w:eastAsia="Arial Unicode MS" w:hAnsi="Arial" w:cs="David" w:hint="cs"/>
          <w:spacing w:val="0"/>
          <w:sz w:val="26"/>
          <w:szCs w:val="26"/>
          <w:rtl/>
        </w:rPr>
        <w:t>ו</w:t>
      </w:r>
      <w:r>
        <w:rPr>
          <w:rFonts w:ascii="Arial" w:eastAsia="Arial Unicode MS" w:hAnsi="Arial" w:cs="David" w:hint="cs"/>
          <w:spacing w:val="0"/>
          <w:sz w:val="26"/>
          <w:szCs w:val="26"/>
          <w:rtl/>
        </w:rPr>
        <w:t>על</w:t>
      </w:r>
      <w:r w:rsidR="00F11E65">
        <w:rPr>
          <w:rFonts w:ascii="Arial" w:eastAsia="Arial Unicode MS" w:hAnsi="Arial" w:cs="David" w:hint="cs"/>
          <w:spacing w:val="0"/>
          <w:sz w:val="26"/>
          <w:szCs w:val="26"/>
          <w:rtl/>
        </w:rPr>
        <w:t xml:space="preserve"> שולחן הכנסת העשרים וארבע על</w:t>
      </w:r>
      <w:r>
        <w:rPr>
          <w:rFonts w:ascii="Arial" w:eastAsia="Arial Unicode MS" w:hAnsi="Arial" w:cs="David" w:hint="cs"/>
          <w:spacing w:val="0"/>
          <w:sz w:val="26"/>
          <w:szCs w:val="26"/>
          <w:rtl/>
        </w:rPr>
        <w:t xml:space="preserve"> ידי </w:t>
      </w:r>
      <w:r w:rsidR="00F11E65">
        <w:rPr>
          <w:rFonts w:ascii="Arial" w:eastAsia="Arial Unicode MS" w:hAnsi="Arial" w:cs="David" w:hint="cs"/>
          <w:spacing w:val="0"/>
          <w:sz w:val="26"/>
          <w:szCs w:val="26"/>
          <w:rtl/>
        </w:rPr>
        <w:t xml:space="preserve">חברת הכנסת עאידה תומא </w:t>
      </w:r>
      <w:r>
        <w:rPr>
          <w:rFonts w:ascii="Arial" w:eastAsia="Arial Unicode MS" w:hAnsi="Arial" w:cs="David" w:hint="cs"/>
          <w:spacing w:val="0"/>
          <w:sz w:val="26"/>
          <w:szCs w:val="26"/>
          <w:rtl/>
        </w:rPr>
        <w:t xml:space="preserve">סלימאן וקבוצת חברי </w:t>
      </w:r>
      <w:r w:rsidR="00F11E65">
        <w:rPr>
          <w:rFonts w:ascii="Arial" w:eastAsia="Arial Unicode MS" w:hAnsi="Arial" w:cs="David" w:hint="cs"/>
          <w:spacing w:val="0"/>
          <w:sz w:val="26"/>
          <w:szCs w:val="26"/>
          <w:rtl/>
        </w:rPr>
        <w:t>הכנסת (פ/1252/23; פ/832/24).</w:t>
      </w:r>
    </w:p>
    <w:p w14:paraId="6655D16C" w14:textId="0AD92002" w:rsidR="00F11E65" w:rsidRPr="00EF012E" w:rsidRDefault="00F11E65" w:rsidP="00F11E65">
      <w:pPr>
        <w:snapToGrid w:val="0"/>
        <w:spacing w:before="0" w:line="360" w:lineRule="auto"/>
      </w:pPr>
      <w:r>
        <w:rPr>
          <w:rFonts w:ascii="Arial" w:eastAsia="Arial Unicode MS" w:hAnsi="Arial" w:cs="David" w:hint="cs"/>
          <w:spacing w:val="0"/>
          <w:sz w:val="26"/>
          <w:szCs w:val="26"/>
          <w:rtl/>
        </w:rPr>
        <w:t>הצעת החוק זהה לפ/832/24 ולפיכך לא נבדקה מחדש על ידי הלשכה המשפטית של הכנסת.</w:t>
      </w:r>
    </w:p>
    <w:p w14:paraId="7F6961CB" w14:textId="0D97777F" w:rsidR="00E13C27" w:rsidRPr="00EF012E" w:rsidRDefault="00E13C27" w:rsidP="00F511CD">
      <w:pPr>
        <w:snapToGrid w:val="0"/>
        <w:spacing w:before="0" w:line="360" w:lineRule="auto"/>
        <w:rPr>
          <w:rtl/>
        </w:rPr>
      </w:pPr>
    </w:p>
    <w:p w14:paraId="1BF7B823" w14:textId="77777777" w:rsidR="00EC4633" w:rsidRDefault="008944DB">
      <w:pPr>
        <w:spacing w:before="0" w:line="360" w:lineRule="auto"/>
        <w:jc w:val="left"/>
      </w:pPr>
      <w:bookmarkStart w:id="9" w:name="selectedDocDateB"/>
      <w:bookmarkEnd w:id="9"/>
      <w:r>
        <w:rPr>
          <w:rFonts w:ascii="David" w:eastAsia="David" w:hAnsi="David" w:cs="David" w:hint="cs"/>
          <w:sz w:val="26"/>
          <w:szCs w:val="26"/>
          <w:rtl/>
        </w:rPr>
        <w:t>--------------------------------</w:t>
      </w:r>
    </w:p>
    <w:p w14:paraId="095FC805" w14:textId="77777777" w:rsidR="00EC4633" w:rsidRDefault="008944DB">
      <w:pPr>
        <w:spacing w:before="0" w:line="360" w:lineRule="auto"/>
        <w:jc w:val="left"/>
      </w:pPr>
      <w:r>
        <w:rPr>
          <w:rFonts w:ascii="David" w:eastAsia="David" w:hAnsi="David" w:cs="David" w:hint="cs"/>
          <w:sz w:val="26"/>
          <w:szCs w:val="26"/>
          <w:rtl/>
        </w:rPr>
        <w:t>הוגשה ליו"ר הכנסת והסגנים</w:t>
      </w:r>
    </w:p>
    <w:p w14:paraId="3A892F39" w14:textId="77777777" w:rsidR="00EC4633" w:rsidRDefault="008944DB">
      <w:pPr>
        <w:spacing w:before="0" w:line="360" w:lineRule="auto"/>
        <w:jc w:val="left"/>
      </w:pPr>
      <w:r>
        <w:rPr>
          <w:rFonts w:ascii="David" w:eastAsia="David" w:hAnsi="David" w:cs="David" w:hint="cs"/>
          <w:sz w:val="26"/>
          <w:szCs w:val="26"/>
          <w:rtl/>
        </w:rPr>
        <w:t>והונחה על שולחן הכנסת ביום</w:t>
      </w:r>
    </w:p>
    <w:p w14:paraId="3BE57B85" w14:textId="77777777" w:rsidR="00EC4633" w:rsidRDefault="008944DB">
      <w:pPr>
        <w:spacing w:before="0" w:line="360" w:lineRule="auto"/>
        <w:jc w:val="left"/>
      </w:pPr>
      <w:r>
        <w:rPr>
          <w:rFonts w:ascii="David" w:eastAsia="David" w:hAnsi="David" w:cs="David" w:hint="cs"/>
          <w:sz w:val="26"/>
          <w:szCs w:val="26"/>
          <w:rtl/>
        </w:rPr>
        <w:t xml:space="preserve">כ"ה בכסלו התשפ"ג (19.12.2022) </w:t>
      </w:r>
    </w:p>
    <w:p w14:paraId="50B3C775" w14:textId="77777777" w:rsidR="00EC4633" w:rsidRDefault="00EC4633">
      <w:pPr>
        <w:spacing w:before="0" w:line="276" w:lineRule="auto"/>
        <w:jc w:val="left"/>
      </w:pPr>
    </w:p>
    <w:sectPr w:rsidR="00EC4633"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EF62D01"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8944DB">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24C9F82" w14:textId="77777777" w:rsidR="00EF012E" w:rsidRDefault="00EF012E" w:rsidP="00EF012E">
      <w:pPr>
        <w:pStyle w:val="a4"/>
        <w:rPr>
          <w:rFonts w:cs="Arial Unicode MS"/>
          <w:rtl/>
        </w:rPr>
      </w:pPr>
      <w:r>
        <w:rPr>
          <w:rStyle w:val="a6"/>
        </w:rPr>
        <w:footnoteRef/>
      </w:r>
      <w:r>
        <w:rPr>
          <w:sz w:val="20"/>
          <w:rtl/>
        </w:rPr>
        <w:t xml:space="preserve"> ס"ח התשנ"ה, עמ' 210.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26C52"/>
    <w:rsid w:val="00553C9D"/>
    <w:rsid w:val="00562A66"/>
    <w:rsid w:val="00595595"/>
    <w:rsid w:val="005B064E"/>
    <w:rsid w:val="005D51AE"/>
    <w:rsid w:val="0062674B"/>
    <w:rsid w:val="006363B2"/>
    <w:rsid w:val="00644940"/>
    <w:rsid w:val="00675482"/>
    <w:rsid w:val="006818A9"/>
    <w:rsid w:val="006A2D81"/>
    <w:rsid w:val="006C1D0D"/>
    <w:rsid w:val="0070601E"/>
    <w:rsid w:val="00712C72"/>
    <w:rsid w:val="00735FE9"/>
    <w:rsid w:val="00763CAA"/>
    <w:rsid w:val="00765F66"/>
    <w:rsid w:val="00782290"/>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44DB"/>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06F4B"/>
    <w:rsid w:val="00E13C27"/>
    <w:rsid w:val="00E33BBD"/>
    <w:rsid w:val="00E374F2"/>
    <w:rsid w:val="00E45103"/>
    <w:rsid w:val="00E55A60"/>
    <w:rsid w:val="00E62778"/>
    <w:rsid w:val="00E635A2"/>
    <w:rsid w:val="00E63D38"/>
    <w:rsid w:val="00E665B9"/>
    <w:rsid w:val="00EA01E6"/>
    <w:rsid w:val="00EA3DE8"/>
    <w:rsid w:val="00EA758F"/>
    <w:rsid w:val="00EC4633"/>
    <w:rsid w:val="00ED1060"/>
    <w:rsid w:val="00ED4A6F"/>
    <w:rsid w:val="00EF012E"/>
    <w:rsid w:val="00EF3A3A"/>
    <w:rsid w:val="00F11E65"/>
    <w:rsid w:val="00F511CD"/>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AD89CB1-7E08-44A4-BF29-8D57B61B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EF012E"/>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6876C-14CC-49AF-89EE-FFE662F92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schemas.microsoft.com/office/2006/documentManagement/types"/>
    <ds:schemaRef ds:uri="http://schemas.openxmlformats.org/package/2006/metadata/core-properties"/>
    <ds:schemaRef ds:uri="http://purl.org/dc/dcmitype/"/>
    <ds:schemaRef ds:uri="http://purl.org/dc/elements/1.1/"/>
    <ds:schemaRef ds:uri="290d5b49-c690-4c6f-bbb9-1e50dab33eee"/>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E960EAE-9774-4478-8763-C65D133F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510</Words>
  <Characters>2909</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13</cp:revision>
  <cp:lastPrinted>2022-12-15T08:11:00Z</cp:lastPrinted>
  <dcterms:created xsi:type="dcterms:W3CDTF">2015-04-20T09:58:00Z</dcterms:created>
  <dcterms:modified xsi:type="dcterms:W3CDTF">2022-12-15T08:11:00Z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2197498</vt:r8>
  </property>
</Properties>
</file>